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6C" w:rsidRPr="00571C68" w:rsidRDefault="00716B6C" w:rsidP="00571C68">
      <w:pPr>
        <w:jc w:val="center"/>
        <w:rPr>
          <w:rFonts w:ascii="Times New Roman" w:hAnsi="Times New Roman" w:cs="Times New Roman"/>
          <w:b/>
          <w:sz w:val="32"/>
          <w:szCs w:val="24"/>
          <w:lang w:val="nn-NO"/>
        </w:rPr>
      </w:pPr>
      <w:r w:rsidRPr="00571C68">
        <w:rPr>
          <w:rFonts w:ascii="Times New Roman" w:hAnsi="Times New Roman" w:cs="Times New Roman"/>
          <w:b/>
          <w:sz w:val="28"/>
        </w:rPr>
        <w:t>Temaer og verktøy for kompetanseheving i profesjonsfellesskapet</w:t>
      </w:r>
      <w:r w:rsidR="00ED008D" w:rsidRPr="00571C68">
        <w:rPr>
          <w:rFonts w:ascii="Times New Roman" w:hAnsi="Times New Roman" w:cs="Times New Roman"/>
          <w:b/>
          <w:sz w:val="28"/>
        </w:rPr>
        <w:t xml:space="preserve"> – gjennomført på samling</w:t>
      </w:r>
      <w:r w:rsidR="00DD7C45" w:rsidRPr="00571C68">
        <w:rPr>
          <w:rFonts w:ascii="Times New Roman" w:hAnsi="Times New Roman" w:cs="Times New Roman"/>
          <w:b/>
          <w:sz w:val="28"/>
        </w:rPr>
        <w:t>er</w:t>
      </w:r>
      <w:r w:rsidR="00ED008D" w:rsidRPr="00571C68">
        <w:rPr>
          <w:rFonts w:ascii="Times New Roman" w:hAnsi="Times New Roman" w:cs="Times New Roman"/>
          <w:b/>
          <w:sz w:val="28"/>
        </w:rPr>
        <w:t xml:space="preserve"> i </w:t>
      </w:r>
      <w:proofErr w:type="spellStart"/>
      <w:r w:rsidR="00ED008D" w:rsidRPr="00571C68">
        <w:rPr>
          <w:rFonts w:ascii="Times New Roman" w:hAnsi="Times New Roman" w:cs="Times New Roman"/>
          <w:b/>
          <w:sz w:val="28"/>
        </w:rPr>
        <w:t>Dekomp</w:t>
      </w:r>
      <w:proofErr w:type="spellEnd"/>
      <w:r w:rsidR="00ED008D" w:rsidRPr="00571C68">
        <w:rPr>
          <w:rFonts w:ascii="Times New Roman" w:hAnsi="Times New Roman" w:cs="Times New Roman"/>
          <w:b/>
          <w:sz w:val="28"/>
        </w:rPr>
        <w:t>, RSØ med Naturfagsenteret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9"/>
        <w:gridCol w:w="3416"/>
        <w:gridCol w:w="2945"/>
      </w:tblGrid>
      <w:tr w:rsidR="00C043FD" w:rsidRPr="005B4D94" w:rsidTr="00571C68">
        <w:tc>
          <w:tcPr>
            <w:tcW w:w="1598" w:type="pct"/>
            <w:shd w:val="clear" w:color="auto" w:fill="FBE4D5" w:themeFill="accent2" w:themeFillTint="33"/>
          </w:tcPr>
          <w:p w:rsidR="00C043FD" w:rsidRPr="005B4D94" w:rsidRDefault="00C043FD" w:rsidP="009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94">
              <w:rPr>
                <w:rFonts w:ascii="Times New Roman" w:hAnsi="Times New Roman" w:cs="Times New Roman"/>
                <w:b/>
                <w:sz w:val="24"/>
                <w:szCs w:val="24"/>
              </w:rPr>
              <w:t>Aktivitet på samling med kort forklaring</w:t>
            </w:r>
          </w:p>
        </w:tc>
        <w:tc>
          <w:tcPr>
            <w:tcW w:w="1827" w:type="pct"/>
            <w:shd w:val="clear" w:color="auto" w:fill="FBE4D5" w:themeFill="accent2" w:themeFillTint="33"/>
          </w:tcPr>
          <w:p w:rsidR="00C043FD" w:rsidRPr="005B4D94" w:rsidRDefault="00C043FD" w:rsidP="009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94">
              <w:rPr>
                <w:rFonts w:ascii="Times New Roman" w:hAnsi="Times New Roman" w:cs="Times New Roman"/>
                <w:b/>
                <w:sz w:val="24"/>
                <w:szCs w:val="24"/>
              </w:rPr>
              <w:t>Verktøy til bruk i kollegiet (hvordan bruke det i kollegiet)</w:t>
            </w:r>
          </w:p>
        </w:tc>
        <w:tc>
          <w:tcPr>
            <w:tcW w:w="1575" w:type="pct"/>
            <w:shd w:val="clear" w:color="auto" w:fill="FBE4D5" w:themeFill="accent2" w:themeFillTint="33"/>
          </w:tcPr>
          <w:p w:rsidR="00C043FD" w:rsidRPr="005B4D94" w:rsidRDefault="00C043FD" w:rsidP="009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94">
              <w:rPr>
                <w:rFonts w:ascii="Times New Roman" w:hAnsi="Times New Roman" w:cs="Times New Roman"/>
                <w:b/>
                <w:sz w:val="24"/>
                <w:szCs w:val="24"/>
              </w:rPr>
              <w:t>Organisering på egen skole</w:t>
            </w:r>
          </w:p>
        </w:tc>
      </w:tr>
      <w:tr w:rsidR="00C043FD" w:rsidRPr="005253F2" w:rsidTr="00C043FD">
        <w:tc>
          <w:tcPr>
            <w:tcW w:w="1598" w:type="pct"/>
          </w:tcPr>
          <w:p w:rsidR="00C043FD" w:rsidRDefault="00DD7C45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Kjennetegn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 xml:space="preserve"> på komplekse og verdilada problemstillinger</w:t>
            </w:r>
            <w:r w:rsidR="005B4D94">
              <w:rPr>
                <w:rFonts w:ascii="Times New Roman" w:hAnsi="Times New Roman" w:cs="Times New Roman"/>
                <w:sz w:val="24"/>
                <w:szCs w:val="24"/>
              </w:rPr>
              <w:t xml:space="preserve"> med utgangspunkt i et bilde.</w:t>
            </w:r>
          </w:p>
          <w:p w:rsidR="00DD7C45" w:rsidRDefault="00DD7C45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45" w:rsidRDefault="00DD7C45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45" w:rsidRDefault="00DD7C45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Lærer- og elevaktivitet.</w:t>
            </w:r>
          </w:p>
        </w:tc>
        <w:tc>
          <w:tcPr>
            <w:tcW w:w="1827" w:type="pct"/>
          </w:tcPr>
          <w:p w:rsidR="00C043FD" w:rsidRPr="00ED008D" w:rsidRDefault="005B4D9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 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 xml:space="preserve">et bilde </w:t>
            </w:r>
            <w:r w:rsidR="00DD7C45">
              <w:rPr>
                <w:rFonts w:ascii="Times New Roman" w:hAnsi="Times New Roman" w:cs="Times New Roman"/>
                <w:sz w:val="24"/>
                <w:szCs w:val="24"/>
              </w:rPr>
              <w:t xml:space="preserve">knytta til en sak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diskuter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 xml:space="preserve"> begrunnel</w:t>
            </w:r>
            <w:r w:rsidR="00DD7C45">
              <w:rPr>
                <w:rFonts w:ascii="Times New Roman" w:hAnsi="Times New Roman" w:cs="Times New Roman"/>
                <w:sz w:val="24"/>
                <w:szCs w:val="24"/>
              </w:rPr>
              <w:t>ser for og imot saken. Diskuter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 xml:space="preserve"> hvilke fag dette kan brukes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D7C45">
              <w:rPr>
                <w:rFonts w:ascii="Times New Roman" w:hAnsi="Times New Roman" w:cs="Times New Roman"/>
                <w:sz w:val="24"/>
                <w:szCs w:val="24"/>
              </w:rPr>
              <w:t xml:space="preserve">. Diskuter 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 xml:space="preserve">hvordan slike saker ofte også går på tvers av de tre tverrfaglige temaene. </w:t>
            </w:r>
          </w:p>
        </w:tc>
        <w:tc>
          <w:tcPr>
            <w:tcW w:w="1575" w:type="pct"/>
          </w:tcPr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Eks.</w:t>
            </w:r>
          </w:p>
          <w:p w:rsidR="005B4D94" w:rsidRDefault="005B4D9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 aktivitet i kollegiet, tenk-par-del.</w:t>
            </w:r>
          </w:p>
          <w:p w:rsidR="00C043FD" w:rsidRDefault="005B4D9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Diskusjon om bruk til elever og p</w:t>
            </w:r>
            <w:r w:rsidR="00C043FD" w:rsidRPr="002960B1">
              <w:rPr>
                <w:rFonts w:ascii="Times New Roman" w:hAnsi="Times New Roman" w:cs="Times New Roman"/>
                <w:sz w:val="24"/>
                <w:szCs w:val="24"/>
              </w:rPr>
              <w:t>lanlegging på trinn</w:t>
            </w:r>
            <w:r w:rsidR="00C04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571" w:rsidRDefault="00162DC1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Ansvar: Kari og Anne, </w:t>
            </w:r>
            <w:r w:rsidR="00EA0571">
              <w:rPr>
                <w:rFonts w:ascii="Times New Roman" w:hAnsi="Times New Roman" w:cs="Times New Roman"/>
                <w:sz w:val="24"/>
                <w:szCs w:val="24"/>
              </w:rPr>
              <w:t>utviklingsaktør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  <w:p w:rsidR="00EA0571" w:rsidRPr="002960B1" w:rsidRDefault="00EA0571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Når: Fellestid på onsdag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13.30.</w:t>
            </w:r>
          </w:p>
        </w:tc>
      </w:tr>
      <w:tr w:rsidR="00C043FD" w:rsidRPr="005253F2" w:rsidTr="00C043FD">
        <w:tc>
          <w:tcPr>
            <w:tcW w:w="1598" w:type="pct"/>
          </w:tcPr>
          <w:p w:rsidR="00C043FD" w:rsidRPr="00DD7C45" w:rsidRDefault="00C043FD" w:rsidP="009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45">
              <w:rPr>
                <w:rFonts w:ascii="Times New Roman" w:hAnsi="Times New Roman" w:cs="Times New Roman"/>
                <w:sz w:val="24"/>
                <w:szCs w:val="24"/>
              </w:rPr>
              <w:t>Elevutsagn som svarer på spørsmålet «</w:t>
            </w:r>
            <w:r w:rsidRPr="00DD7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Hva tenker du når andre har andre meninger enn deg?»</w:t>
            </w:r>
          </w:p>
          <w:p w:rsidR="00C043FD" w:rsidRDefault="00DD7C45" w:rsidP="00D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Elevutsagnene kan være utgangspunkt for arbeid med meningsutveksling.</w:t>
            </w:r>
          </w:p>
          <w:p w:rsidR="00DD7C45" w:rsidRDefault="00DD7C45" w:rsidP="00D8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13" w:rsidRDefault="00C43C13" w:rsidP="00D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Lærer- og elevaktivitet.</w:t>
            </w:r>
          </w:p>
          <w:p w:rsidR="00DD7C45" w:rsidRDefault="00DD7C45" w:rsidP="00D8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D84436" w:rsidRDefault="00C043FD" w:rsidP="00D844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Elevutsagnene kan deles ut og sorteres </w:t>
            </w:r>
            <w:r w:rsidR="00DD7C45">
              <w:rPr>
                <w:rFonts w:ascii="Times New Roman" w:hAnsi="Times New Roman" w:cs="Times New Roman"/>
                <w:sz w:val="24"/>
                <w:szCs w:val="24"/>
              </w:rPr>
              <w:t xml:space="preserve">i grupper 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kolleger </w:t>
            </w:r>
            <w:r w:rsidR="00D84436">
              <w:rPr>
                <w:rFonts w:ascii="Times New Roman" w:hAnsi="Times New Roman" w:cs="Times New Roman"/>
                <w:sz w:val="24"/>
                <w:szCs w:val="24"/>
              </w:rPr>
              <w:t xml:space="preserve">for å få til en diskusjon om elevenes tanker knytta til andres meninger. (Dette kan eventuelt også gjøres sammen med elevene </w:t>
            </w:r>
            <w:r w:rsidR="00DE7F31">
              <w:rPr>
                <w:rFonts w:ascii="Times New Roman" w:hAnsi="Times New Roman" w:cs="Times New Roman"/>
                <w:sz w:val="24"/>
                <w:szCs w:val="24"/>
              </w:rPr>
              <w:t xml:space="preserve">på ulike trinn </w:t>
            </w:r>
            <w:r w:rsidR="00D84436">
              <w:rPr>
                <w:rFonts w:ascii="Times New Roman" w:hAnsi="Times New Roman" w:cs="Times New Roman"/>
                <w:sz w:val="24"/>
                <w:szCs w:val="24"/>
              </w:rPr>
              <w:t>etterpå.)</w:t>
            </w:r>
          </w:p>
          <w:p w:rsidR="00C043FD" w:rsidRDefault="00C043FD" w:rsidP="00937A2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575" w:type="pct"/>
          </w:tcPr>
          <w:p w:rsidR="00C043FD" w:rsidRDefault="00C043FD" w:rsidP="00937A2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5253F2" w:rsidTr="00C043FD">
        <w:tc>
          <w:tcPr>
            <w:tcW w:w="1598" w:type="pct"/>
          </w:tcPr>
          <w:p w:rsidR="00C043FD" w:rsidRPr="00937A22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3:</w:t>
            </w:r>
            <w:r w:rsidRPr="0093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6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runnregler for demokratiske samtaler</w:t>
            </w:r>
            <w:r w:rsidRPr="00937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3FD" w:rsidRDefault="00C043FD" w:rsidP="00937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3C13" w:rsidRPr="00937A22" w:rsidRDefault="00C43C13" w:rsidP="00937A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C13">
              <w:rPr>
                <w:rFonts w:ascii="Times New Roman" w:hAnsi="Times New Roman" w:cs="Times New Roman"/>
                <w:sz w:val="24"/>
                <w:szCs w:val="24"/>
              </w:rPr>
              <w:t>Elevaktivitet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</w:tcPr>
          <w:p w:rsidR="00C043FD" w:rsidRDefault="00F01935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</w:t>
            </w:r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aktiviteten «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Grunnregler for samtale</w:t>
            </w:r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» i kollegiet og diskuter </w:t>
            </w:r>
            <w:proofErr w:type="spellStart"/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hvordan</w:t>
            </w:r>
            <w:proofErr w:type="spellEnd"/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denne eventuelt kan </w:t>
            </w:r>
            <w:proofErr w:type="spellStart"/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brukes</w:t>
            </w:r>
            <w:proofErr w:type="spellEnd"/>
            <w:r w:rsidR="0084556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med elevene.</w:t>
            </w:r>
          </w:p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043FD" w:rsidRPr="005E0CB8" w:rsidRDefault="00C043FD" w:rsidP="008455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</w:pPr>
          </w:p>
        </w:tc>
        <w:tc>
          <w:tcPr>
            <w:tcW w:w="1575" w:type="pct"/>
          </w:tcPr>
          <w:p w:rsidR="00C043FD" w:rsidRPr="005253F2" w:rsidRDefault="00C043FD" w:rsidP="00845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3FD" w:rsidRPr="000F6340" w:rsidTr="00C043FD">
        <w:tc>
          <w:tcPr>
            <w:tcW w:w="1598" w:type="pct"/>
          </w:tcPr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4:</w:t>
            </w:r>
            <w:r w:rsidRPr="000F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verktøy for å analysere komplekse og verdilada problemstillinger, tabell og skoleeksempel.</w:t>
            </w:r>
          </w:p>
          <w:p w:rsidR="00C43C13" w:rsidRDefault="00C43C1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13" w:rsidRDefault="00C43C1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Læreraktivitet.</w:t>
            </w:r>
          </w:p>
          <w:p w:rsidR="00C43C13" w:rsidRPr="000F6340" w:rsidRDefault="00C43C1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DF6E6A" w:rsidRDefault="00502A99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 verktøyet til å diskutere </w:t>
            </w:r>
            <w:r w:rsidR="00DF6E6A">
              <w:rPr>
                <w:rFonts w:ascii="Times New Roman" w:hAnsi="Times New Roman" w:cs="Times New Roman"/>
                <w:sz w:val="24"/>
                <w:szCs w:val="24"/>
              </w:rPr>
              <w:t xml:space="preserve">og analysere </w:t>
            </w:r>
            <w:r w:rsidR="00DF6E6A" w:rsidRPr="00DF6E6A">
              <w:rPr>
                <w:rFonts w:ascii="Times New Roman" w:hAnsi="Times New Roman" w:cs="Times New Roman"/>
                <w:i/>
                <w:sz w:val="24"/>
                <w:szCs w:val="24"/>
              </w:rPr>
              <w:t>et eksempel</w:t>
            </w:r>
            <w:r w:rsidR="00DF6E6A">
              <w:rPr>
                <w:rFonts w:ascii="Times New Roman" w:hAnsi="Times New Roman" w:cs="Times New Roman"/>
                <w:sz w:val="24"/>
                <w:szCs w:val="24"/>
              </w:rPr>
              <w:t xml:space="preserve"> på en kompleks og verdilada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problemstilling </w:t>
            </w:r>
            <w:r w:rsidR="00DF6E6A">
              <w:rPr>
                <w:rFonts w:ascii="Times New Roman" w:hAnsi="Times New Roman" w:cs="Times New Roman"/>
                <w:sz w:val="24"/>
                <w:szCs w:val="24"/>
              </w:rPr>
              <w:t>med lærere på tvers av fag.</w:t>
            </w:r>
          </w:p>
          <w:p w:rsidR="00C043FD" w:rsidRPr="000F6340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</w:tcPr>
          <w:p w:rsidR="00C043FD" w:rsidRPr="000F6340" w:rsidRDefault="00C043FD" w:rsidP="00937A2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0F6340" w:rsidTr="00C043FD">
        <w:tc>
          <w:tcPr>
            <w:tcW w:w="1598" w:type="pct"/>
          </w:tcPr>
          <w:p w:rsidR="00C043FD" w:rsidRDefault="00C043FD" w:rsidP="009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5:</w:t>
            </w:r>
            <w:r w:rsidRPr="000F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Gavekalender</w:t>
            </w:r>
            <w:r w:rsidR="00C43C13">
              <w:rPr>
                <w:rFonts w:ascii="Times New Roman" w:hAnsi="Times New Roman" w:cs="Times New Roman"/>
                <w:sz w:val="24"/>
                <w:szCs w:val="24"/>
              </w:rPr>
              <w:t>. Rollespill,</w:t>
            </w:r>
            <w:r w:rsidR="00CA624C">
              <w:rPr>
                <w:rFonts w:ascii="Times New Roman" w:hAnsi="Times New Roman" w:cs="Times New Roman"/>
                <w:sz w:val="24"/>
                <w:szCs w:val="24"/>
              </w:rPr>
              <w:t xml:space="preserve"> sortering av begrunnelser og </w:t>
            </w:r>
            <w:r w:rsidRPr="000F6340">
              <w:rPr>
                <w:rFonts w:ascii="Times New Roman" w:hAnsi="Times New Roman" w:cs="Times New Roman"/>
                <w:sz w:val="24"/>
                <w:szCs w:val="24"/>
              </w:rPr>
              <w:t>øve på åpenhet og grunnregler for samtale</w:t>
            </w:r>
            <w:r w:rsidR="00C4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C13" w:rsidRDefault="00C43C13" w:rsidP="0093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13" w:rsidRDefault="00C43C13" w:rsidP="009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Elevaktivitet.</w:t>
            </w:r>
          </w:p>
          <w:p w:rsidR="00C43C13" w:rsidRPr="000F6340" w:rsidRDefault="00C43C13" w:rsidP="0093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C043FD" w:rsidRPr="000F6340" w:rsidRDefault="00C43C1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gavekalenderen eller et annet rollespill for å øve på å sortere begrunnelser i fakta og følelser, for og imot og rangere disse. Øvelsen her kan være å øve på åpenhet for å akseptere mange ulike begrunnelser.</w:t>
            </w:r>
          </w:p>
        </w:tc>
        <w:tc>
          <w:tcPr>
            <w:tcW w:w="1575" w:type="pct"/>
          </w:tcPr>
          <w:p w:rsidR="00C043FD" w:rsidRPr="000F6340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536951" w:rsidTr="00C043FD">
        <w:tc>
          <w:tcPr>
            <w:tcW w:w="1598" w:type="pct"/>
          </w:tcPr>
          <w:p w:rsidR="00C043FD" w:rsidRDefault="00C043FD" w:rsidP="007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Økt 6:</w:t>
            </w: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 Arbeid på tvers av fag med en felles problemstilling</w:t>
            </w:r>
          </w:p>
          <w:p w:rsidR="006F15E0" w:rsidRDefault="006F15E0" w:rsidP="0071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E0" w:rsidRPr="00536951" w:rsidRDefault="006F15E0" w:rsidP="007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Læreraktivitet.</w:t>
            </w:r>
          </w:p>
          <w:p w:rsidR="00C043FD" w:rsidRPr="00536951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776D14" w:rsidRDefault="00776D14" w:rsidP="007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Diskuter: </w:t>
            </w:r>
          </w:p>
          <w:p w:rsidR="00532F5F" w:rsidRPr="00776D14" w:rsidRDefault="00776D14" w:rsidP="007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14">
              <w:rPr>
                <w:rFonts w:ascii="Times New Roman" w:hAnsi="Times New Roman" w:cs="Times New Roman"/>
                <w:sz w:val="24"/>
                <w:szCs w:val="24"/>
              </w:rPr>
              <w:t xml:space="preserve">Hvordan samarbeider du med andre lærere om undervisningen på tvers av fag? </w:t>
            </w:r>
          </w:p>
          <w:p w:rsidR="00C043FD" w:rsidRPr="00536951" w:rsidRDefault="00776D1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14">
              <w:rPr>
                <w:rFonts w:ascii="Times New Roman" w:hAnsi="Times New Roman" w:cs="Times New Roman"/>
                <w:sz w:val="24"/>
                <w:szCs w:val="24"/>
              </w:rPr>
              <w:t>Hvordan kan dette bidra til at elevene oppnår forståelse</w:t>
            </w:r>
            <w:r w:rsidR="00FA4A23">
              <w:rPr>
                <w:rFonts w:ascii="Times New Roman" w:hAnsi="Times New Roman" w:cs="Times New Roman"/>
                <w:sz w:val="24"/>
                <w:szCs w:val="24"/>
              </w:rPr>
              <w:t xml:space="preserve"> og ser sammenhenger innenfor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D14">
              <w:rPr>
                <w:rFonts w:ascii="Times New Roman" w:hAnsi="Times New Roman" w:cs="Times New Roman"/>
                <w:sz w:val="24"/>
                <w:szCs w:val="24"/>
              </w:rPr>
              <w:t>problemstillingen som undervises?</w:t>
            </w:r>
          </w:p>
        </w:tc>
        <w:tc>
          <w:tcPr>
            <w:tcW w:w="1575" w:type="pct"/>
          </w:tcPr>
          <w:p w:rsidR="00C043FD" w:rsidRPr="00536951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Pr="00716B6C" w:rsidRDefault="00C043FD" w:rsidP="00716B6C"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Elevutbytte og handlingskompetanse</w:t>
            </w:r>
          </w:p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E0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Læreraktivitet.</w:t>
            </w:r>
          </w:p>
        </w:tc>
        <w:tc>
          <w:tcPr>
            <w:tcW w:w="1827" w:type="pct"/>
          </w:tcPr>
          <w:p w:rsidR="00C043FD" w:rsidRPr="004652D4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modellen for handlingskompetanse, diskuter og fyll inn læringsmål knytta til den planlagte undervisningen på tvers av fag.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Pr="000D0C2E" w:rsidRDefault="00C043FD" w:rsidP="000D0C2E"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Vurdering og å sette tydelige mål</w:t>
            </w:r>
            <w:r w:rsidR="00174729">
              <w:rPr>
                <w:rFonts w:ascii="Times New Roman" w:hAnsi="Times New Roman" w:cs="Times New Roman"/>
                <w:sz w:val="24"/>
                <w:szCs w:val="24"/>
              </w:rPr>
              <w:t xml:space="preserve"> (kunnskaper, ferdigheter</w:t>
            </w:r>
            <w:r w:rsidR="00FA4A23">
              <w:rPr>
                <w:rFonts w:ascii="Times New Roman" w:hAnsi="Times New Roman" w:cs="Times New Roman"/>
                <w:sz w:val="24"/>
                <w:szCs w:val="24"/>
              </w:rPr>
              <w:t xml:space="preserve">, holdninger og </w:t>
            </w:r>
            <w:r w:rsidR="00174729">
              <w:rPr>
                <w:rFonts w:ascii="Times New Roman" w:hAnsi="Times New Roman" w:cs="Times New Roman"/>
                <w:sz w:val="24"/>
                <w:szCs w:val="24"/>
              </w:rPr>
              <w:t>handlinger)</w:t>
            </w:r>
          </w:p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E0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Læreraktivitet.</w:t>
            </w:r>
          </w:p>
          <w:p w:rsidR="006F15E0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C043FD" w:rsidRPr="004652D4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 utgangspunkt i tyde</w:t>
            </w:r>
            <w:r w:rsidR="00174729">
              <w:rPr>
                <w:rFonts w:ascii="Times New Roman" w:hAnsi="Times New Roman" w:cs="Times New Roman"/>
                <w:sz w:val="24"/>
                <w:szCs w:val="24"/>
              </w:rPr>
              <w:t>lige læringsmål, diskuter hvordan elevene skal lære dette. Hvordan ser det ut når elevene er på vei eller har nådd målet (bevis)? Hvilke aktiviteter skal elevene utføre for å synliggjøre sin forståelse?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Default="00C043FD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Legge til rette for helhetlig og pluralistisk undervisning</w:t>
            </w:r>
            <w:r w:rsidR="006F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Læreraktivitet. </w:t>
            </w: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C043FD" w:rsidRPr="004652D4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Diskuter didaktikken knytta til komplekse og verdilada spørsmål. Ta utgangspunkt i undervisningen</w:t>
            </w:r>
            <w:r w:rsidR="00AB24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hva, hvordan og hvorfor og de ulike tradisjonene knytta til bærekraftundervisning (fakta, normativt, pluralistisk).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Default="00C043FD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Hva er gyldige begrunnelser?</w:t>
            </w: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Lærer- og elevaktivitet.</w:t>
            </w:r>
          </w:p>
          <w:p w:rsidR="006F15E0" w:rsidRDefault="006F15E0" w:rsidP="002B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C043FD" w:rsidRPr="004652D4" w:rsidRDefault="006F15E0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ut og sorter begrunnelser knytta ti</w:t>
            </w:r>
            <w:r w:rsidR="00BC5234">
              <w:rPr>
                <w:rFonts w:ascii="Times New Roman" w:hAnsi="Times New Roman" w:cs="Times New Roman"/>
                <w:sz w:val="24"/>
                <w:szCs w:val="24"/>
              </w:rPr>
              <w:t xml:space="preserve">l en problemstilling (eks ulv). Diskuter og ranger begrunnelsene. Diskuter dette opp mot modellen over gyldige begrunnelser s. </w:t>
            </w:r>
            <w:r w:rsidR="00174729">
              <w:rPr>
                <w:rFonts w:ascii="Times New Roman" w:hAnsi="Times New Roman" w:cs="Times New Roman"/>
                <w:sz w:val="24"/>
                <w:szCs w:val="24"/>
              </w:rPr>
              <w:t xml:space="preserve">36 i </w:t>
            </w:r>
            <w:r w:rsidR="00BC5234">
              <w:rPr>
                <w:rFonts w:ascii="Times New Roman" w:hAnsi="Times New Roman" w:cs="Times New Roman"/>
                <w:sz w:val="24"/>
                <w:szCs w:val="24"/>
              </w:rPr>
              <w:t>Naturfag 2/22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Inngang på komplekse og verdilada spørsmål via aktørperspektivet</w:t>
            </w:r>
            <w:r w:rsidR="008D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E34" w:rsidRDefault="008D3E3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34" w:rsidRDefault="008D3E3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Lærer – og elevaktivitet.</w:t>
            </w:r>
          </w:p>
          <w:p w:rsidR="008D3E34" w:rsidRDefault="008D3E34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C043FD" w:rsidRPr="004652D4" w:rsidRDefault="00872A0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et bilde om en kompleks og verdilada problemstilling og diskuter (tenk-par-del) hvem som kan være aktørene i denne saken og hvilke oppfatninger de kan ha. Bruk tabellen til å skrive inn.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043FD" w:rsidRPr="004652D4" w:rsidTr="00C043FD">
        <w:tc>
          <w:tcPr>
            <w:tcW w:w="1598" w:type="pct"/>
          </w:tcPr>
          <w:p w:rsidR="00C043FD" w:rsidRDefault="00C043FD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68">
              <w:rPr>
                <w:rFonts w:ascii="Times New Roman" w:hAnsi="Times New Roman" w:cs="Times New Roman"/>
                <w:b/>
                <w:sz w:val="24"/>
                <w:szCs w:val="24"/>
              </w:rPr>
              <w:t>Økt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Elevmedvirkning</w:t>
            </w:r>
          </w:p>
        </w:tc>
        <w:tc>
          <w:tcPr>
            <w:tcW w:w="1827" w:type="pct"/>
          </w:tcPr>
          <w:p w:rsidR="00C043FD" w:rsidRPr="004652D4" w:rsidRDefault="00872A03" w:rsidP="009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Kommer!</w:t>
            </w:r>
          </w:p>
        </w:tc>
        <w:tc>
          <w:tcPr>
            <w:tcW w:w="1575" w:type="pct"/>
          </w:tcPr>
          <w:p w:rsidR="00C043FD" w:rsidRPr="004652D4" w:rsidRDefault="00C043FD" w:rsidP="009F2F1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2E1309" w:rsidRDefault="00571C68"/>
    <w:p w:rsidR="00DA5B85" w:rsidRDefault="00DA5B85" w:rsidP="00716B6C">
      <w:pPr>
        <w:rPr>
          <w:rFonts w:ascii="Times New Roman" w:hAnsi="Times New Roman" w:cs="Times New Roman"/>
          <w:b/>
          <w:sz w:val="24"/>
          <w:szCs w:val="24"/>
        </w:rPr>
      </w:pPr>
    </w:p>
    <w:p w:rsidR="00053F89" w:rsidRPr="00053F89" w:rsidRDefault="00053F89" w:rsidP="00716B6C">
      <w:pPr>
        <w:rPr>
          <w:rFonts w:ascii="Times New Roman" w:hAnsi="Times New Roman" w:cs="Times New Roman"/>
          <w:b/>
          <w:sz w:val="24"/>
          <w:szCs w:val="24"/>
        </w:rPr>
      </w:pPr>
      <w:r w:rsidRPr="00053F89">
        <w:rPr>
          <w:rFonts w:ascii="Times New Roman" w:hAnsi="Times New Roman" w:cs="Times New Roman"/>
          <w:b/>
          <w:sz w:val="24"/>
          <w:szCs w:val="24"/>
        </w:rPr>
        <w:lastRenderedPageBreak/>
        <w:t>Praksiseksempel fra Lakkegata skole</w:t>
      </w:r>
    </w:p>
    <w:p w:rsidR="00053F89" w:rsidRDefault="00571C68" w:rsidP="0071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to lærerne som deltok i </w:t>
      </w:r>
      <w:r w:rsidR="00716B6C">
        <w:rPr>
          <w:rFonts w:ascii="Times New Roman" w:hAnsi="Times New Roman" w:cs="Times New Roman"/>
          <w:sz w:val="24"/>
          <w:szCs w:val="24"/>
        </w:rPr>
        <w:t xml:space="preserve">nettverket </w:t>
      </w:r>
      <w:r>
        <w:rPr>
          <w:rFonts w:ascii="Times New Roman" w:hAnsi="Times New Roman" w:cs="Times New Roman"/>
          <w:sz w:val="24"/>
          <w:szCs w:val="24"/>
        </w:rPr>
        <w:t xml:space="preserve">til Den naturlige skolesekken (DNS) </w:t>
      </w:r>
      <w:bookmarkStart w:id="0" w:name="_GoBack"/>
      <w:bookmarkEnd w:id="0"/>
      <w:r w:rsidR="00716B6C">
        <w:rPr>
          <w:rFonts w:ascii="Times New Roman" w:hAnsi="Times New Roman" w:cs="Times New Roman"/>
          <w:sz w:val="24"/>
          <w:szCs w:val="24"/>
        </w:rPr>
        <w:t xml:space="preserve">ledet øktene ved egen skole og tok utgangspunkt i ulike aktiviteter og verktøy som de hadde prøvd ut selv på samlingene (se tabell over). </w:t>
      </w:r>
    </w:p>
    <w:p w:rsidR="00053F89" w:rsidRDefault="00716B6C" w:rsidP="0071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var viktig at hver enkelt lærer skulle få mulighet til å reflektere, diskutere og delta i en prosess, ikke bare få servert et ferdig foredrag og en oppskrift. Lærerne som ledet samlingene valgte derfor tenk-par-del</w:t>
      </w:r>
      <w:r w:rsidRPr="00507992">
        <w:rPr>
          <w:rFonts w:ascii="Times New Roman" w:hAnsi="Times New Roman" w:cs="Times New Roman"/>
          <w:sz w:val="24"/>
          <w:szCs w:val="24"/>
        </w:rPr>
        <w:t xml:space="preserve"> metoden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B6C" w:rsidRDefault="00716B6C" w:rsidP="0071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253F2">
        <w:rPr>
          <w:rFonts w:ascii="Times New Roman" w:hAnsi="Times New Roman" w:cs="Times New Roman"/>
          <w:sz w:val="24"/>
          <w:szCs w:val="24"/>
        </w:rPr>
        <w:t xml:space="preserve">tter hvert som hele kollegiet utviklet seg sammen kom det frem andre innfallsvinkler som </w:t>
      </w:r>
      <w:r>
        <w:rPr>
          <w:rFonts w:ascii="Times New Roman" w:hAnsi="Times New Roman" w:cs="Times New Roman"/>
          <w:sz w:val="24"/>
          <w:szCs w:val="24"/>
        </w:rPr>
        <w:t>kunne</w:t>
      </w:r>
      <w:r w:rsidRPr="005253F2">
        <w:rPr>
          <w:rFonts w:ascii="Times New Roman" w:hAnsi="Times New Roman" w:cs="Times New Roman"/>
          <w:sz w:val="24"/>
          <w:szCs w:val="24"/>
        </w:rPr>
        <w:t xml:space="preserve"> knyttes til flere fag. Det har </w:t>
      </w:r>
      <w:r>
        <w:rPr>
          <w:rFonts w:ascii="Times New Roman" w:hAnsi="Times New Roman" w:cs="Times New Roman"/>
          <w:sz w:val="24"/>
          <w:szCs w:val="24"/>
        </w:rPr>
        <w:t>foregått</w:t>
      </w:r>
      <w:r w:rsidRPr="005253F2">
        <w:rPr>
          <w:rFonts w:ascii="Times New Roman" w:hAnsi="Times New Roman" w:cs="Times New Roman"/>
          <w:sz w:val="24"/>
          <w:szCs w:val="24"/>
        </w:rPr>
        <w:t xml:space="preserve"> to parallelle prosesser</w:t>
      </w:r>
      <w:r>
        <w:rPr>
          <w:rFonts w:ascii="Times New Roman" w:hAnsi="Times New Roman" w:cs="Times New Roman"/>
          <w:sz w:val="24"/>
          <w:szCs w:val="24"/>
        </w:rPr>
        <w:t xml:space="preserve"> på skolen disse årene: U</w:t>
      </w:r>
      <w:r w:rsidRPr="005253F2">
        <w:rPr>
          <w:rFonts w:ascii="Times New Roman" w:hAnsi="Times New Roman" w:cs="Times New Roman"/>
          <w:sz w:val="24"/>
          <w:szCs w:val="24"/>
        </w:rPr>
        <w:t xml:space="preserve">tvikling av </w:t>
      </w:r>
      <w:r>
        <w:rPr>
          <w:rFonts w:ascii="Times New Roman" w:hAnsi="Times New Roman" w:cs="Times New Roman"/>
          <w:sz w:val="24"/>
          <w:szCs w:val="24"/>
        </w:rPr>
        <w:t xml:space="preserve">selve </w:t>
      </w:r>
      <w:r w:rsidRPr="005253F2">
        <w:rPr>
          <w:rFonts w:ascii="Times New Roman" w:hAnsi="Times New Roman" w:cs="Times New Roman"/>
          <w:sz w:val="24"/>
          <w:szCs w:val="24"/>
        </w:rPr>
        <w:t xml:space="preserve">skolehagen </w:t>
      </w:r>
      <w:r>
        <w:rPr>
          <w:rFonts w:ascii="Times New Roman" w:hAnsi="Times New Roman" w:cs="Times New Roman"/>
          <w:sz w:val="24"/>
          <w:szCs w:val="24"/>
        </w:rPr>
        <w:t>og det praktiske arbeidet der, samt</w:t>
      </w:r>
      <w:r w:rsidRPr="005253F2">
        <w:rPr>
          <w:rFonts w:ascii="Times New Roman" w:hAnsi="Times New Roman" w:cs="Times New Roman"/>
          <w:sz w:val="24"/>
          <w:szCs w:val="24"/>
        </w:rPr>
        <w:t xml:space="preserve"> kollegainvolvering rundt </w:t>
      </w:r>
      <w:r w:rsidR="00053F89">
        <w:rPr>
          <w:rFonts w:ascii="Times New Roman" w:hAnsi="Times New Roman" w:cs="Times New Roman"/>
          <w:sz w:val="24"/>
          <w:szCs w:val="24"/>
        </w:rPr>
        <w:t>undervisning på tvers av fag innen bærekraftig utvikling og demokrati og medborgerskap</w:t>
      </w:r>
      <w:r>
        <w:rPr>
          <w:rFonts w:ascii="Times New Roman" w:hAnsi="Times New Roman" w:cs="Times New Roman"/>
          <w:sz w:val="24"/>
          <w:szCs w:val="24"/>
        </w:rPr>
        <w:t xml:space="preserve">. Disse to prosessene har påvirket hverandre gjensidig.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Årshjulet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utgangspunkt og en rettesnor for hvilke aktiviteter som skulle gjennomføres når i hagen, men ve</w:t>
      </w:r>
      <w:r w:rsidR="00053F89">
        <w:rPr>
          <w:rFonts w:ascii="Times New Roman" w:hAnsi="Times New Roman" w:cs="Times New Roman"/>
          <w:sz w:val="24"/>
          <w:szCs w:val="24"/>
        </w:rPr>
        <w:t>d hjelp av blant</w:t>
      </w:r>
      <w:r w:rsidR="00A256BB">
        <w:rPr>
          <w:rFonts w:ascii="Times New Roman" w:hAnsi="Times New Roman" w:cs="Times New Roman"/>
          <w:sz w:val="24"/>
          <w:szCs w:val="24"/>
        </w:rPr>
        <w:t xml:space="preserve"> annet</w:t>
      </w:r>
      <w:r w:rsidR="00053F89">
        <w:rPr>
          <w:rFonts w:ascii="Times New Roman" w:hAnsi="Times New Roman" w:cs="Times New Roman"/>
          <w:sz w:val="24"/>
          <w:szCs w:val="24"/>
        </w:rPr>
        <w:t xml:space="preserve"> planleggingsverktøyet</w:t>
      </w:r>
      <w:r w:rsidR="00A256BB">
        <w:rPr>
          <w:rFonts w:ascii="Times New Roman" w:hAnsi="Times New Roman" w:cs="Times New Roman"/>
          <w:sz w:val="24"/>
          <w:szCs w:val="24"/>
        </w:rPr>
        <w:t xml:space="preserve"> (plakaten)</w:t>
      </w:r>
      <w:r w:rsidR="00053F89">
        <w:rPr>
          <w:rFonts w:ascii="Times New Roman" w:hAnsi="Times New Roman" w:cs="Times New Roman"/>
          <w:sz w:val="24"/>
          <w:szCs w:val="24"/>
        </w:rPr>
        <w:t xml:space="preserve"> fra DNS</w:t>
      </w:r>
      <w:r w:rsidR="00A2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 det mulig å legge til rette for en mer helhetlig undervisning. Med fokus på kritisk tenking og dialog og meningsbrytning ble det for eksempel mer relevant både for norsk og KRLE.</w:t>
      </w:r>
    </w:p>
    <w:p w:rsidR="008A1F7B" w:rsidRDefault="008A1F7B">
      <w:r>
        <w:tab/>
      </w:r>
      <w:r>
        <w:tab/>
      </w:r>
    </w:p>
    <w:p w:rsidR="00716B6C" w:rsidRDefault="00716B6C"/>
    <w:sectPr w:rsidR="0071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5BE"/>
    <w:multiLevelType w:val="hybridMultilevel"/>
    <w:tmpl w:val="F26CD4F6"/>
    <w:lvl w:ilvl="0" w:tplc="97E6E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82D2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202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448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74D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047C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C89F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5A55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E88C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C077868"/>
    <w:multiLevelType w:val="hybridMultilevel"/>
    <w:tmpl w:val="DD606898"/>
    <w:lvl w:ilvl="0" w:tplc="FC1C41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3E05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F2B1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247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D0F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60A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40A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4AC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E28D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B0F4CB6"/>
    <w:multiLevelType w:val="hybridMultilevel"/>
    <w:tmpl w:val="35EAA2E0"/>
    <w:lvl w:ilvl="0" w:tplc="19F4F0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58270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F2823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38B7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726C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A348C7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8A85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7CFBE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887B1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D1420"/>
    <w:multiLevelType w:val="hybridMultilevel"/>
    <w:tmpl w:val="8DFED344"/>
    <w:lvl w:ilvl="0" w:tplc="819CC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7818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2AB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04D9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DE8D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BEA9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10B5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A74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863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6E658D3"/>
    <w:multiLevelType w:val="hybridMultilevel"/>
    <w:tmpl w:val="CA4EAA20"/>
    <w:lvl w:ilvl="0" w:tplc="336C13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A40E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FE42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1A5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D01F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78C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D06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9E3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D2C3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34F779C"/>
    <w:multiLevelType w:val="hybridMultilevel"/>
    <w:tmpl w:val="E1C27AF2"/>
    <w:lvl w:ilvl="0" w:tplc="20C2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6A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6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8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0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8C423F"/>
    <w:multiLevelType w:val="hybridMultilevel"/>
    <w:tmpl w:val="6A70C6AA"/>
    <w:lvl w:ilvl="0" w:tplc="181E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00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A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D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E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6C"/>
    <w:rsid w:val="00053F89"/>
    <w:rsid w:val="000D0C2E"/>
    <w:rsid w:val="000F6340"/>
    <w:rsid w:val="001503C5"/>
    <w:rsid w:val="001606CD"/>
    <w:rsid w:val="00162DC1"/>
    <w:rsid w:val="00174729"/>
    <w:rsid w:val="001F6DD1"/>
    <w:rsid w:val="002B2608"/>
    <w:rsid w:val="00366B24"/>
    <w:rsid w:val="003D3291"/>
    <w:rsid w:val="0047635C"/>
    <w:rsid w:val="00502995"/>
    <w:rsid w:val="00502A99"/>
    <w:rsid w:val="00532F5F"/>
    <w:rsid w:val="00536951"/>
    <w:rsid w:val="00571C68"/>
    <w:rsid w:val="00594939"/>
    <w:rsid w:val="005B4D94"/>
    <w:rsid w:val="0063288C"/>
    <w:rsid w:val="006F15E0"/>
    <w:rsid w:val="00716B6C"/>
    <w:rsid w:val="00776D14"/>
    <w:rsid w:val="00845565"/>
    <w:rsid w:val="00872A03"/>
    <w:rsid w:val="008A1F7B"/>
    <w:rsid w:val="008B19F1"/>
    <w:rsid w:val="008D3E34"/>
    <w:rsid w:val="00904075"/>
    <w:rsid w:val="00931D65"/>
    <w:rsid w:val="00937A22"/>
    <w:rsid w:val="00A256BB"/>
    <w:rsid w:val="00AB2452"/>
    <w:rsid w:val="00AF7146"/>
    <w:rsid w:val="00BC5234"/>
    <w:rsid w:val="00C043FD"/>
    <w:rsid w:val="00C43C13"/>
    <w:rsid w:val="00C83F17"/>
    <w:rsid w:val="00CA624C"/>
    <w:rsid w:val="00CB36C5"/>
    <w:rsid w:val="00D84436"/>
    <w:rsid w:val="00DA5B85"/>
    <w:rsid w:val="00DD7C45"/>
    <w:rsid w:val="00DE7F31"/>
    <w:rsid w:val="00DF6E6A"/>
    <w:rsid w:val="00EA0571"/>
    <w:rsid w:val="00ED008D"/>
    <w:rsid w:val="00F01935"/>
    <w:rsid w:val="00FA4A23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525C"/>
  <w15:chartTrackingRefBased/>
  <w15:docId w15:val="{8A95C12E-938E-4B8A-8083-6109532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6C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B6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FB400D05B594DBDCF63E9B84EB2B7" ma:contentTypeVersion="16" ma:contentTypeDescription="Opprett et nytt dokument." ma:contentTypeScope="" ma:versionID="d9d8fd1962449660c7062caf9566b444">
  <xsd:schema xmlns:xsd="http://www.w3.org/2001/XMLSchema" xmlns:xs="http://www.w3.org/2001/XMLSchema" xmlns:p="http://schemas.microsoft.com/office/2006/metadata/properties" xmlns:ns2="2afadef5-6cab-432b-b008-d9b8b6b97ab5" xmlns:ns3="9af16741-2446-493d-992b-2001afef73ec" targetNamespace="http://schemas.microsoft.com/office/2006/metadata/properties" ma:root="true" ma:fieldsID="56d04d0f1510c213394b09f4fe843d02" ns2:_="" ns3:_="">
    <xsd:import namespace="2afadef5-6cab-432b-b008-d9b8b6b97ab5"/>
    <xsd:import namespace="9af16741-2446-493d-992b-2001afef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def5-6cab-432b-b008-d9b8b6b9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11e50e7-da05-47c5-86ac-738b8efbd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6741-2446-493d-992b-2001afef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35e6e9-997a-426a-8735-7a618296bb1e}" ma:internalName="TaxCatchAll" ma:showField="CatchAllData" ma:web="9af16741-2446-493d-992b-2001afef7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971B6-A991-428C-8484-9CBC94712A84}"/>
</file>

<file path=customXml/itemProps2.xml><?xml version="1.0" encoding="utf-8"?>
<ds:datastoreItem xmlns:ds="http://schemas.openxmlformats.org/officeDocument/2006/customXml" ds:itemID="{99BCA743-3394-4AA0-9C33-7E5A42805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 Scheie</dc:creator>
  <cp:keywords/>
  <dc:description/>
  <cp:lastModifiedBy>Eldri Scheie</cp:lastModifiedBy>
  <cp:revision>12</cp:revision>
  <dcterms:created xsi:type="dcterms:W3CDTF">2023-04-14T13:56:00Z</dcterms:created>
  <dcterms:modified xsi:type="dcterms:W3CDTF">2023-04-19T09:05:00Z</dcterms:modified>
</cp:coreProperties>
</file>